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6" w:rsidRPr="00B56C2A" w:rsidRDefault="00F14FA2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72DF6" w:rsidRPr="00B56C2A" w:rsidRDefault="00F14FA2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72DF6" w:rsidRPr="00B56C2A" w:rsidRDefault="00F14FA2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72DF6" w:rsidRPr="00B56C2A" w:rsidRDefault="00F14FA2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06-2/81-17</w:t>
      </w:r>
    </w:p>
    <w:p w:rsidR="00C72DF6" w:rsidRPr="00B56C2A" w:rsidRDefault="00E1127D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14FA2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72DF6" w:rsidRPr="00B56C2A" w:rsidRDefault="00F14FA2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72DF6" w:rsidRDefault="00C72DF6" w:rsidP="00C7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2F91" w:rsidRPr="00202F91" w:rsidRDefault="00202F91" w:rsidP="00C7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Pr="00B56C2A" w:rsidRDefault="00F14FA2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C72DF6" w:rsidRPr="00B56C2A" w:rsidRDefault="00644B72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72DF6" w:rsidRPr="00B56C2A" w:rsidRDefault="00F14FA2" w:rsidP="00C7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44B72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72DF6" w:rsidRPr="00B56C2A" w:rsidRDefault="00C72DF6" w:rsidP="00C72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E85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2F79C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63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63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63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53E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A53E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0936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0936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0936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Milun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Trivunac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4677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="00016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5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E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72DF6" w:rsidRPr="00B56C2A" w:rsidRDefault="00F14FA2" w:rsidP="00C72DF6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1.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956C4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E28F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E28FE">
        <w:rPr>
          <w:rFonts w:ascii="Times New Roman" w:hAnsi="Times New Roman" w:cs="Times New Roman"/>
          <w:sz w:val="24"/>
          <w:szCs w:val="24"/>
          <w:lang w:val="sr-Cyrl-CS"/>
        </w:rPr>
        <w:t xml:space="preserve"> 02-310/17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E28F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FE28FE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02-23057/16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02-3476/16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02-195/17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CF7684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72DF6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674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 xml:space="preserve"> 02-695/17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E28E5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41A7E" w:rsidRDefault="00241A7E" w:rsidP="00267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02-696/17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41A7E" w:rsidRPr="00B56C2A" w:rsidRDefault="00241A7E" w:rsidP="00241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02-872/17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7260C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639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1A7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02-287/17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83DF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26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60C" w:rsidRDefault="0067260C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9.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02-1291/17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8059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0590" w:rsidRDefault="00380590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672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0B00F8">
        <w:rPr>
          <w:rFonts w:ascii="Times New Roman" w:hAnsi="Times New Roman" w:cs="Times New Roman"/>
          <w:sz w:val="24"/>
          <w:szCs w:val="24"/>
          <w:lang w:val="sr-Cyrl-RS"/>
        </w:rPr>
        <w:t xml:space="preserve"> 13, 14.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0F8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C9B" w:rsidRDefault="002674C5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šestoj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sedmoj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osmoj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07C9B" w:rsidRDefault="00507C9B" w:rsidP="00507C9B">
      <w:pPr>
        <w:pStyle w:val="Heading4"/>
        <w:tabs>
          <w:tab w:val="left" w:pos="1418"/>
        </w:tabs>
        <w:spacing w:before="0"/>
        <w:rPr>
          <w:rFonts w:ascii="Times New Roman" w:hAnsi="Times New Roman" w:cs="Times New Roman"/>
          <w:b w:val="0"/>
          <w:i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ab/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Predsednik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Odbora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je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podsetila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da</w:t>
      </w:r>
      <w:r>
        <w:rPr>
          <w:rFonts w:ascii="Times New Roman" w:hAnsi="Times New Roman" w:cs="Times New Roman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u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skladu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sa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članom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229.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Poslovnika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Narodne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skupštine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ministar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informiše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nadležni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odbor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Narodne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skupštine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radu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ministarstva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jednom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u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tri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meseca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zaključcima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odbora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povodom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podnete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informacije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odbor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podnosi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izveštaj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Narodnoj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skupštini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(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prva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osma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deveta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tačka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utvrđenog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dnevnog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>reda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ru-RU"/>
        </w:rPr>
        <w:t xml:space="preserve">).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Odbor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skladu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sa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članom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84.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Zakona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privatizaciji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članom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54.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Poslovnika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Narodne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skupštine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razmatra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redovne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mesečne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izveštaje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Ministarstva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privrede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stanju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postupka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privatizacije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zaključenim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ugovorima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prodaji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kapitala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odnosno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imovine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sa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priloženim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ugovorima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pokrenutim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postupcima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privatizacije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radu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subjekata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nadležnih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za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sprovođenje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postupka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privatizacije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a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Ministarstvo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privrede</w:t>
      </w:r>
      <w:r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pruža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sve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potrebne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podatke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informacije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po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zahtevu</w:t>
      </w:r>
      <w:r>
        <w:rPr>
          <w:rFonts w:ascii="Times New Roman" w:hAnsi="Times New Roman" w:cs="Times New Roman"/>
          <w:b w:val="0"/>
          <w:i w:val="0"/>
          <w:color w:val="auto"/>
          <w:spacing w:val="-4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  <w:lang w:val="sr-Cyrl-RS"/>
        </w:rPr>
        <w:t>O</w:t>
      </w:r>
      <w:r w:rsidR="00F14FA2">
        <w:rPr>
          <w:rFonts w:ascii="Times New Roman" w:hAnsi="Times New Roman" w:cs="Times New Roman"/>
          <w:b w:val="0"/>
          <w:i w:val="0"/>
          <w:color w:val="auto"/>
          <w:spacing w:val="-4"/>
        </w:rPr>
        <w:t>dbora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(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druga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treća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četvrta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peta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,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šesta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sedma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tačka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utvrđenog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dnevnog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 xml:space="preserve"> </w:t>
      </w:r>
      <w:r w:rsidR="00F14FA2">
        <w:rPr>
          <w:rFonts w:ascii="Times New Roman" w:hAnsi="Times New Roman" w:cs="Times New Roman"/>
          <w:b w:val="0"/>
          <w:i w:val="0"/>
          <w:color w:val="auto"/>
          <w:lang w:val="sr-Cyrl-RS"/>
        </w:rPr>
        <w:t>reda</w:t>
      </w: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t>).</w:t>
      </w:r>
    </w:p>
    <w:p w:rsidR="002674C5" w:rsidRDefault="002674C5" w:rsidP="00267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72DF6" w:rsidRPr="00B56C2A" w:rsidRDefault="002674C5" w:rsidP="00C72D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3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Informacija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decembar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decembar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januar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507C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februar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mart</w:t>
      </w:r>
      <w:r w:rsidR="00EC0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EC0374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C72DF6" w:rsidRPr="00B56C2A" w:rsidRDefault="00C72DF6" w:rsidP="00507C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2DF6" w:rsidRPr="00B56C2A" w:rsidRDefault="00C72DF6" w:rsidP="00507C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75A98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75A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683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683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portfelju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507C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174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156</w:t>
      </w:r>
      <w:r w:rsidR="005639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stalno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nekih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raskida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vraćaju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portfelj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421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privatizovana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smanji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120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A7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>130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87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obrazovane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7E7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5C7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kompleksna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F0E0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Petrohemija</w:t>
      </w:r>
      <w:r w:rsidR="006F0E0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C39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97A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397A" w:rsidRPr="00B56C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FC397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FC397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C7948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397A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Galenika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5C7948" w:rsidRPr="00B64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pokazalo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početka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FC3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pokrenut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stečajni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unovčena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imovina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isplaćene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rešeni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viškovi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programe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712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našli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kupci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zaposlili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1811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radnici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Prodaja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imovine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pokazala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9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efikasan</w:t>
      </w:r>
      <w:r w:rsidR="00F9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F9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manja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3C4E" w:rsidRDefault="00203C4E" w:rsidP="00203C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01B98" w:rsidRDefault="00F14FA2" w:rsidP="008D78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D7875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54ED4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naći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="008A0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skupštinom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317152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17152" w:rsidRP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slabosti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dosadašnjoj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otklonjene</w:t>
      </w:r>
      <w:r w:rsidR="00254ED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730AC" w:rsidRDefault="00F14FA2" w:rsidP="008D78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detalji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daljim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planovima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06E0E" w:rsidRPr="00D04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4D0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D04F61" w:rsidRPr="00D04F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0528" w:rsidRDefault="008A097D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završetak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nužno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izmeniti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važeći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manjkavosti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onemogućavaju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efikasno</w:t>
      </w:r>
      <w:r w:rsidR="0080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naplate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potraživanja</w:t>
      </w:r>
      <w:r w:rsidR="007F2C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2BE1" w:rsidRDefault="00452BE1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maksimalan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napor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terenu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iznađu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najbolja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razvijenim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egzistencija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programima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malim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srednjim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Fondom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razvijenim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delovima</w:t>
      </w:r>
      <w:r w:rsidR="00BE6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saradnjom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pružanjem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adekvatnih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blagovremenih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aktivnim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učešćem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2731" w:rsidRPr="008A097D" w:rsidRDefault="00362731" w:rsidP="007F2C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pohvala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kontinuiranih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napora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višedecenijskih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istaknuti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potvrdilo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ishod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D3CED">
        <w:rPr>
          <w:rFonts w:ascii="Times New Roman" w:hAnsi="Times New Roman" w:cs="Times New Roman"/>
          <w:sz w:val="24"/>
          <w:szCs w:val="24"/>
          <w:lang w:val="sr-Cyrl-RS"/>
        </w:rPr>
        <w:t xml:space="preserve"> „14.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nerealna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6E0E" w:rsidRDefault="00FF5850" w:rsidP="00C855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0730AC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1723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17152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17152" w:rsidRP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="00A75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obrazovana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intenzivno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radila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najskorije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usaglasiti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detalji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upućen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7D3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ubrza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brže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unovčenje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imovine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poboljša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hipotekarnih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poverilaca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4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51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poverilaca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poverilaca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monetarnog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9047F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pokrenuta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283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stečajna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stečajni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završen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značajnom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prodata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imovina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namireni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B12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poverioci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pokazalo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33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BA7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kupci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obavezivani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socijalnog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dostavljanja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bankarskih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garancija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Kupci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kupovine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932B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kupac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kupuje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imovinu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27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stavlja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poslovnu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daljih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8622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razgovora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1723" w:rsidRPr="0045172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4525D3" w:rsidRP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F2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aranžmana</w:t>
      </w:r>
      <w:r w:rsidR="004525D3" w:rsidRP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25D3" w:rsidRP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junske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revizije</w:t>
      </w:r>
      <w:r w:rsidR="00C327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667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67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Svetska</w:t>
      </w:r>
      <w:r w:rsid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2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67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uđu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25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skupštinsku</w:t>
      </w:r>
      <w:r w:rsidR="004525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4525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privatizacionog</w:t>
      </w:r>
      <w:r w:rsidR="005070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portfolia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preseljen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stečaj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Prethodni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koncept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prethodni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nameru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pronađe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kupce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investitore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obavezani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održe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maksimalnu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zaposlenost</w:t>
      </w:r>
      <w:r w:rsidR="003174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određenom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vremenskom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B40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izvrše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neophodne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polože</w:t>
      </w:r>
      <w:r w:rsidR="00DC07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prvoklasne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bankarske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garancije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7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="00C37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C37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koncepta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dolazilo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ishoda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Pojedini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volju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namere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25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uklope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troškove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prilagode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promenama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4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realizuju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7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37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obavezali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0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Dolazilo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ugovori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raskidaju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vraćaju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portfolio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4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1E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portfolio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F2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aktivno</w:t>
      </w:r>
      <w:r w:rsidR="0017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angažuje</w:t>
      </w:r>
      <w:r w:rsidR="00933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933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osam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ocenjuje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30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fiskalni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rizik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zaustavljeno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masovno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budžetskih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kreditna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haotična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2014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151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Železare</w:t>
      </w:r>
      <w:r w:rsidR="001F3C8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Smederevo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rešen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najefikasniji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stvaralo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najveće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gubitke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zahtevalo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budžetska</w:t>
      </w:r>
      <w:r w:rsidR="007B3F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pokrivanje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gubitaka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110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120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godišnjem</w:t>
      </w:r>
      <w:r w:rsidR="00460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247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47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247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8140F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C7D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bolja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perid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bakra</w:t>
      </w:r>
      <w:r w:rsidR="008F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svetskom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drastično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pala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00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dolara</w:t>
      </w:r>
      <w:r w:rsidR="00743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toni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suočio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likvidnosti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izmiruje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5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garanciju</w:t>
      </w:r>
      <w:r w:rsidR="00003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135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garantovana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5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topionicu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Realno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pretila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opasnost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garancija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aktivira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teret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2C4C0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stvorio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dugove</w:t>
      </w:r>
      <w:r w:rsidR="004D7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EPS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utrošenu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električnu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energiju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zaostale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107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servisira</w:t>
      </w:r>
      <w:r w:rsidR="00675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plaća</w:t>
      </w:r>
      <w:r w:rsidR="005D5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račune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struju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unapred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pripremljnom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reorganizacije</w:t>
      </w:r>
      <w:r w:rsidR="00527B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bolja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bakra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5 700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5 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800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dolara</w:t>
      </w:r>
      <w:r w:rsidR="00DB4A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37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toni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6C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D41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 w:rsidR="007B0A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Galenike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objavljen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7B0A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1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Galenike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duga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71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FD0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Galenika</w:t>
      </w:r>
      <w:r w:rsidR="0003067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duguje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komercijalnim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bankama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obezbeđen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hipotekom</w:t>
      </w:r>
      <w:r w:rsidR="000A5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novoj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fabrici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Zemunu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porcija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duga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istim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bankama</w:t>
      </w:r>
      <w:r w:rsidR="00961B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garantovana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garancijom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886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duga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poveriocima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AD06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otpisati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konvertovati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kapital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dalju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Prvenstveni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privatizuje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9606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stočarska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proizvodnja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snabdevač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mlekom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D125A">
        <w:rPr>
          <w:rFonts w:ascii="Times New Roman" w:hAnsi="Times New Roman" w:cs="Times New Roman"/>
          <w:sz w:val="24"/>
          <w:szCs w:val="24"/>
          <w:lang w:val="sr-Cyrl-CS"/>
        </w:rPr>
        <w:t xml:space="preserve"> 60%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09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816306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vlasništvu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16306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6306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D125A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22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hiljade</w:t>
      </w:r>
      <w:r w:rsidR="000D125A" w:rsidRP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EF3CF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potencijalnim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investitorima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potencijalni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obaveže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proizvodnju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minimum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E44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rudara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jedina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firma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prima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subvenciju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4,4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razdela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proseku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rudar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Resavici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državu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košta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sposobnost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operativnom</w:t>
      </w:r>
      <w:r w:rsidR="00A04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pokrije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rashode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sveobuhvatnu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studiju</w:t>
      </w:r>
      <w:r w:rsidR="006F4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pokaže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smisla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zatvore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devet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rudnika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rude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rudnicima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2072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prodaje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1C4B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angažuju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80%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prodaje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šansu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privatizacijom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privlačenjem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1A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firme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kraćem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dužem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D23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uveća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BDP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F46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zaposlenost</w:t>
      </w:r>
      <w:r w:rsidR="00FF54D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F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03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snazi</w:t>
      </w:r>
      <w:r w:rsidR="007003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produžetak</w:t>
      </w:r>
      <w:r w:rsidR="00584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oglasa</w:t>
      </w:r>
      <w:r w:rsidR="00584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4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profesionalizaciju</w:t>
      </w:r>
      <w:r w:rsidR="009D51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menadžmenta</w:t>
      </w:r>
      <w:r w:rsidR="009D51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51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oglas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prijavio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D0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zainteresovani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kandidat</w:t>
      </w:r>
      <w:r w:rsidR="00FB47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tražio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dodatni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izvrši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predao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ponudu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Ideja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profesionalizaciju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menadžmenta</w:t>
      </w:r>
      <w:r w:rsidR="00F020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javila</w:t>
      </w:r>
      <w:r w:rsidR="00712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razgovoru</w:t>
      </w:r>
      <w:r w:rsidR="007175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MMF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75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bakra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depresirana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C31F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452BE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slaba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investiranost</w:t>
      </w:r>
      <w:r w:rsidR="0018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rudarske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Investirano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topionicu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7173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7173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rude</w:t>
      </w:r>
      <w:r w:rsidR="00EA7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topionicu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izgrađena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D04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ekološkim</w:t>
      </w:r>
      <w:r w:rsidR="003D5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normama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postavlja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svrsishodnosti</w:t>
      </w:r>
      <w:r w:rsidR="00EA7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investiranja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topionicu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C855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podsetiti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ekološko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2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Boru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katastrofalno</w:t>
      </w:r>
      <w:r w:rsidR="001E7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="00D916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ugroženo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stanovnika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Bora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Alternativa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stara</w:t>
      </w:r>
      <w:r w:rsidR="00B450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topionica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ugasi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postojala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ruda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prerađuje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zemlji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Buduća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uzima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9464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pronalaženje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3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procena</w:t>
      </w:r>
      <w:r w:rsidR="009F7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7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najbolji</w:t>
      </w:r>
      <w:r w:rsidR="00C0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model</w:t>
      </w:r>
      <w:r w:rsidR="008D50A2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8D50A2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dokapitalizaciju</w:t>
      </w:r>
      <w:r w:rsidR="00B07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investiranje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rudnik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pun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topionice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Potencijalni</w:t>
      </w:r>
      <w:r w:rsidR="00C07137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="00C07137" w:rsidRPr="00480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1F7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stekao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dokapitalizuje</w:t>
      </w:r>
      <w:r w:rsidR="00C07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investiciju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rudnike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Krivelj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Cerovo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pronalaženje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ležišta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rude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A2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zainteresovanih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42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2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profesionalizacije</w:t>
      </w:r>
      <w:r w:rsidR="0042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menadžmenta</w:t>
      </w:r>
      <w:r w:rsidR="00480D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A5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F7F74">
        <w:rPr>
          <w:rFonts w:ascii="Times New Roman" w:hAnsi="Times New Roman" w:cs="Times New Roman"/>
          <w:sz w:val="24"/>
          <w:szCs w:val="24"/>
          <w:lang w:val="sr-Cyrl-RS"/>
        </w:rPr>
        <w:t xml:space="preserve"> 6 000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F7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AA1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obrazovala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954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rukovodstva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13058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90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0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sastaje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sklopu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748">
        <w:rPr>
          <w:rFonts w:ascii="Times New Roman" w:hAnsi="Times New Roman" w:cs="Times New Roman"/>
          <w:sz w:val="24"/>
          <w:szCs w:val="24"/>
          <w:lang w:val="sr-Latn-RS"/>
        </w:rPr>
        <w:t xml:space="preserve">stand by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aranžmana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6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1305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FB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CE2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CE2FB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kineskih</w:t>
      </w:r>
      <w:r w:rsidR="00942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496748" w:rsidRDefault="00B47A6A" w:rsidP="005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72DF6" w:rsidRDefault="00C72DF6" w:rsidP="00C7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7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6E7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6E7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16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C16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6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Milun</w:t>
      </w:r>
      <w:r w:rsidR="00175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Trivunac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DF6" w:rsidRPr="00B56C2A" w:rsidRDefault="00C72DF6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143C4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43C4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72DF6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8128E9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="004610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610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6105E" w:rsidRDefault="0046105E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đ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7711C" w:rsidRPr="00B56C2A" w:rsidRDefault="0087711C" w:rsidP="00C72DF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mart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72DF6" w:rsidRPr="00B56C2A" w:rsidRDefault="00F14FA2" w:rsidP="00CE2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Osma</w:t>
      </w:r>
      <w:r w:rsidR="009E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deveta</w:t>
      </w:r>
      <w:r w:rsidR="00C72DF6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72DF6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72DF6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72DF6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3627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9E14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3B0C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januara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566F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</w:t>
      </w:r>
      <w:r w:rsidR="00566F6D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3B0C33" w:rsidRDefault="00C72DF6" w:rsidP="00CE2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C72DF6" w:rsidRDefault="003B0C33" w:rsidP="003B0C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16138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2DF6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0C33" w:rsidRDefault="003B0C33" w:rsidP="003B0C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3B0C3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5A80" w:rsidRDefault="00C72DF6" w:rsidP="00663A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trovine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multilateralnu</w:t>
      </w:r>
      <w:r w:rsidR="0029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29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pokrenute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6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8F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F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mešovita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međuvladina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6793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Baden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Virtemberg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mešoviti</w:t>
      </w:r>
      <w:r w:rsidR="0061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61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Češkom</w:t>
      </w:r>
      <w:r w:rsidR="0061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3B0C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2E2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2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2E2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Popisan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bileteralni</w:t>
      </w:r>
      <w:r w:rsidR="00B4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susreti</w:t>
      </w:r>
      <w:r w:rsidR="00D7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7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25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1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9D4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CE2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akativnosti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563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1B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naoružanja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kontrolne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755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naoružanje</w:t>
      </w:r>
      <w:r w:rsidR="007553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vojnu</w:t>
      </w:r>
      <w:r w:rsidR="00755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8C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robu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015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harmonizaciji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1C6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kontrolnim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listama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usaglašava</w:t>
      </w:r>
      <w:r w:rsidR="001120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544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4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544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544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oviru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B07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7748A9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72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72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71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71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1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B20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1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311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susreti</w:t>
      </w:r>
      <w:r w:rsidR="00ED4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D4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Ljajića</w:t>
      </w:r>
      <w:r w:rsidR="00ED4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4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Katara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poslovnoj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Katarom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47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naoružanja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93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povećani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izvoz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C7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2015, 2016.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097B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F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EA3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60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0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liberalizaciju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uklanjanje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vancarinskih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spoljnotrgovinski</w:t>
      </w:r>
      <w:r w:rsidR="00577F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754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spoljnotrgovinskoj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444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multilateralnu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79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izložbe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Ekspo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Kazahstanu</w:t>
      </w:r>
      <w:r w:rsidR="009B12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Imenovan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42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mešovitog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Paviljona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56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racionalizacije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5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manifestaciji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Ankari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Turskoj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4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liberalizuje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robama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smanjio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liberalizuje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0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Sedmo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zasedanje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Mešovite</w:t>
      </w:r>
      <w:r w:rsidR="00831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Konstatovan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98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peti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spoljnotrgovinski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5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691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značajnih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susreta</w:t>
      </w:r>
      <w:r w:rsidR="00C5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B6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najznačajnijim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zvaničnicima</w:t>
      </w:r>
      <w:r w:rsidR="00046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192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Saudijske</w:t>
      </w:r>
      <w:r w:rsidR="00192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Arabije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95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animiranja</w:t>
      </w:r>
      <w:r w:rsidR="0095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potencijalnih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6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987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87B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6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731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konačno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80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980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80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zastoji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nesporazumi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barijere</w:t>
      </w:r>
      <w:r w:rsidR="0036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rešavati</w:t>
      </w:r>
      <w:r w:rsidR="00671C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uspešna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1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B07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05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Ambasadom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5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olakšava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7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plasmanu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ponavljaju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sezonski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brašna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Makednoniju</w:t>
      </w:r>
      <w:r w:rsidR="00F902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F90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F90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teritroju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piva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Bosnu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Hercegovinu</w:t>
      </w:r>
      <w:r w:rsidR="007F4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0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00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0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52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52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5210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2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75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0E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70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usaglašenosti</w:t>
      </w:r>
      <w:r w:rsidR="00770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563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B03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nezakonodavne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0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uslužnog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tromesečju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Nacionlanog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95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Ministartva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D0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boljem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A26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3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23E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najznačajnijih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Baden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Virtemberg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gost</w:t>
      </w:r>
      <w:r w:rsidR="0040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Dunavskom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salonu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41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najvećeg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Sajma</w:t>
      </w:r>
      <w:r w:rsidR="002D6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2D3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Dunavske</w:t>
      </w:r>
      <w:r w:rsidR="006D2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285D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85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85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7B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B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7B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BF0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BF0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BF0A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4030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CB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najviših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Zapaženo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forumu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CB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Slovačke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B7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7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digitalnom</w:t>
      </w:r>
      <w:r w:rsidR="00A61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transformacijom</w:t>
      </w:r>
      <w:r w:rsidR="006F0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82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D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8D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Kini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F56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faktor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unapređivanja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645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F0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2F0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456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56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456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9F1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D39F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46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AF3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F5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1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383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3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izdato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95E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B5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5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0D5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viših</w:t>
      </w:r>
      <w:r w:rsidR="000D5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AA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smeštaja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zvezdice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dominira</w:t>
      </w:r>
      <w:r w:rsidR="00AA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smeštajnim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izgrađeno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55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355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55D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77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2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5A732E">
        <w:rPr>
          <w:rFonts w:ascii="Times New Roman" w:hAnsi="Times New Roman" w:cs="Times New Roman"/>
          <w:sz w:val="24"/>
          <w:szCs w:val="24"/>
          <w:lang w:val="sr-Cyrl-RS"/>
        </w:rPr>
        <w:t xml:space="preserve"> 640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A73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treninga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2B2A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A6B3A">
        <w:rPr>
          <w:rFonts w:ascii="Times New Roman" w:hAnsi="Times New Roman" w:cs="Times New Roman"/>
          <w:sz w:val="24"/>
          <w:szCs w:val="24"/>
          <w:lang w:val="sr-Cyrl-RS"/>
        </w:rPr>
        <w:t xml:space="preserve">45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A6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D3B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6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BF3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F3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BF3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EAF">
        <w:rPr>
          <w:rFonts w:ascii="Times New Roman" w:hAnsi="Times New Roman" w:cs="Times New Roman"/>
          <w:sz w:val="24"/>
          <w:szCs w:val="24"/>
          <w:lang w:val="sr-Cyrl-RS"/>
        </w:rPr>
        <w:t xml:space="preserve">230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Vaučeri</w:t>
      </w:r>
      <w:r w:rsidR="006F7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6559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9A6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234E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3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 xml:space="preserve">650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977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ugostiteljskih</w:t>
      </w:r>
      <w:r w:rsidR="00977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 xml:space="preserve"> 630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ispunjavalo</w:t>
      </w:r>
      <w:r w:rsidR="00B77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Najverniji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gosti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penzioneri</w:t>
      </w:r>
      <w:r w:rsidR="00A552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 55,9%,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E45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E45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prelaze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306A">
        <w:rPr>
          <w:rFonts w:ascii="Times New Roman" w:hAnsi="Times New Roman" w:cs="Times New Roman"/>
          <w:sz w:val="24"/>
          <w:szCs w:val="24"/>
          <w:lang w:val="sr-Cyrl-RS"/>
        </w:rPr>
        <w:t xml:space="preserve">33,8%,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nezaposlena</w:t>
      </w:r>
      <w:r w:rsidR="00C33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9%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Uredbi</w:t>
      </w:r>
      <w:r w:rsidR="00B8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EE7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41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tuđu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negu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ratni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vojni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invalidi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palih</w:t>
      </w:r>
      <w:r w:rsidR="00B41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6F80">
        <w:rPr>
          <w:rFonts w:ascii="Times New Roman" w:hAnsi="Times New Roman" w:cs="Times New Roman"/>
          <w:sz w:val="24"/>
          <w:szCs w:val="24"/>
          <w:lang w:val="sr-Cyrl-RS"/>
        </w:rPr>
        <w:t>.)</w:t>
      </w:r>
      <w:r w:rsidR="00923A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63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100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izlagača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učestovale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Kina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posetilaca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dostigao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rekordan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4C1">
        <w:rPr>
          <w:rFonts w:ascii="Times New Roman" w:hAnsi="Times New Roman" w:cs="Times New Roman"/>
          <w:sz w:val="24"/>
          <w:szCs w:val="24"/>
          <w:lang w:val="sr-Cyrl-RS"/>
        </w:rPr>
        <w:t xml:space="preserve">75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C94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posetilaca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56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7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Uspostavljena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sistemskoj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osnovi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odlična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723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23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C9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C9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C9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9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specijalizovane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12F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D55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realizovane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kontaktima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D74">
        <w:rPr>
          <w:rFonts w:ascii="Times New Roman" w:hAnsi="Times New Roman" w:cs="Times New Roman"/>
          <w:sz w:val="24"/>
          <w:szCs w:val="24"/>
          <w:lang w:val="sr-Latn-RS"/>
        </w:rPr>
        <w:t>tour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sportista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6C01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3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1D0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00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1C2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775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Pr="00B56C2A" w:rsidRDefault="00C72DF6" w:rsidP="0036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4B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72DF6" w:rsidRDefault="00C72DF6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4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bilateralni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Brazilom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Ukrajinom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stupanju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D963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070F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D963BE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0B45" w:rsidRDefault="001836EE" w:rsidP="001836E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reeksportom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smanjila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36EE" w:rsidRDefault="00890B45" w:rsidP="001836E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koči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995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objedinjeno</w:t>
      </w:r>
      <w:r w:rsidR="00A47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1836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36EE" w:rsidRDefault="00A475F2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3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objedini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izvozi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275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sposobna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1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izvesnim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744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167C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53A" w:rsidRDefault="0074453A" w:rsidP="00365A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vaučeri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podstakne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leđa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dupliranja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rezervacija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ocenjeni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napori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promociji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privlačenju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udaljenih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Indije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528F" w:rsidRPr="004C528F" w:rsidRDefault="00AE4B47" w:rsidP="004C52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35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35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harmonizaciju</w:t>
      </w:r>
      <w:r w:rsidR="001D2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1D2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1D2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bilateralnim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4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finaliziraju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Ukrajinom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Brazilom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246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spoprazuma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7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4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Brazilom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4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usaglasiti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goveđeg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Brazila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najverovatnije</w:t>
      </w:r>
      <w:r w:rsidR="00D7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blagi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ustupak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sporazumeti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manjoj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količini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uvozi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2406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Brazila</w:t>
      </w:r>
      <w:r w:rsidR="003328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D2D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D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D2D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2D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Ljajićem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koriguju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svede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2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nula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Ukrajinom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ukrajinska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izjednače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02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spoljnotrgovinskoj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Rusijom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900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2B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spoljnotrgovinski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kratkom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5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usaglašeni</w:t>
      </w:r>
      <w:r w:rsidR="00B54A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izvoznik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svinjskog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goveđeg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lažno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deklarisano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poreklo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28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veterinarske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zastoj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otklonjen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nastavljen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BB1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355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AC6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poreklo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izveze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preferencijalnim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došlo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zastoja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045D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fitosanitarnih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6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preteran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pesticidima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394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jagodičastog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stvorilo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zastoj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kreiralo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604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razrešeno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ostaviti</w:t>
      </w:r>
      <w:r w:rsidR="00A17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FA4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obnovljena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4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tradicionalnog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snabdevača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01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041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komorom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90B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nastupa</w:t>
      </w:r>
      <w:r w:rsidR="00DC3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C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7C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marketinškog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prodora</w:t>
      </w:r>
      <w:r w:rsidR="006C1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1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približavanja</w:t>
      </w:r>
      <w:r w:rsidR="006C1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direktnim</w:t>
      </w:r>
      <w:r w:rsidR="006C1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kupcima</w:t>
      </w:r>
      <w:r w:rsidR="00E90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regionima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Rusiji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ruskim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trgovinskim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lancima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6D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2DF6" w:rsidRDefault="00C72DF6" w:rsidP="00C7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9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4309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C92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C92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A05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E426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5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3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3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6A6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B590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590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64DD" w:rsidRDefault="00EA64DD" w:rsidP="00C72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2E6E44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E6E44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083C" w:rsidRDefault="00E42605" w:rsidP="00F0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7BA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7B275E" w:rsidRDefault="00F14FA2" w:rsidP="00F0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Deseta</w:t>
      </w:r>
      <w:r w:rsidR="007B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B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B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B275E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E42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19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2E29" w:rsidRDefault="002955AE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podsetila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upućeno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pozivno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pismo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Šemsudina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Mehmedovića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Predstavničkog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četvoročlane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Analiziranje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prevazići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barijere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sugerisano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5536" w:rsidRPr="00F04192" w:rsidRDefault="00C02E29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pratnji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95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termin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E9553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7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C78A0" w:rsidRDefault="00E95536" w:rsidP="00E955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="00C90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predloge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2E29" w:rsidRDefault="00C02E29" w:rsidP="00E955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92" w:rsidRDefault="00E95536" w:rsidP="00E9553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uspostavio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Sekretarijatom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obnovljivim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izvorima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Parlamentarnog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kokusa</w:t>
      </w:r>
      <w:r w:rsidR="00F04192" w:rsidRPr="00F041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1132" w:rsidRDefault="00FD079F" w:rsidP="00A04D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656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52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1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C41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energetikom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C00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C00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DA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FC60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02F5">
        <w:rPr>
          <w:rFonts w:ascii="Times New Roman" w:hAnsi="Times New Roman" w:cs="Times New Roman"/>
          <w:sz w:val="24"/>
          <w:szCs w:val="24"/>
          <w:lang w:val="sr-Latn-RS"/>
        </w:rPr>
        <w:t xml:space="preserve">EUFORES,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B4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3229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D079F" w:rsidRDefault="00B41132" w:rsidP="00B411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2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C2C7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Dume</w:t>
      </w:r>
      <w:r w:rsidR="004E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9B66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predstavniku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Dume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5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3013" w:rsidRDefault="00493013" w:rsidP="0049301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određna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Dume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A2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="009A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857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5D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595D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622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sferi</w:t>
      </w:r>
      <w:r w:rsidR="00622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221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276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4192" w:rsidRDefault="00493013" w:rsidP="00C02E2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890D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890D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prihvatanje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inicijative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organizaciji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Regionalne</w:t>
      </w:r>
      <w:r w:rsidR="00C02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konferencije</w:t>
      </w:r>
      <w:r w:rsidR="00F04192" w:rsidRPr="00F04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3013" w:rsidRDefault="00493013" w:rsidP="00493013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diskusiji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učestvovale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Snežana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Petrović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ru-RU"/>
        </w:rPr>
        <w:t>Tomić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4D14" w:rsidRPr="00F04192" w:rsidRDefault="00A04D14" w:rsidP="00A04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DF6" w:rsidRPr="00B56C2A" w:rsidRDefault="00C72DF6" w:rsidP="004930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3105C2" w:rsidP="004930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493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DF6" w:rsidRPr="00B56C2A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DF6" w:rsidRDefault="00C72DF6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D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F14F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72DF6" w:rsidRPr="00B56C2A" w:rsidRDefault="00F14FA2" w:rsidP="00C72DF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2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72DF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0C648D" w:rsidRPr="00644B72" w:rsidRDefault="000C648D">
      <w:pPr>
        <w:rPr>
          <w:lang w:val="sr-Cyrl-RS"/>
        </w:rPr>
      </w:pPr>
    </w:p>
    <w:sectPr w:rsidR="000C648D" w:rsidRPr="00644B72" w:rsidSect="00C02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4" w:rsidRDefault="00A46334" w:rsidP="00D106FB">
      <w:pPr>
        <w:spacing w:after="0" w:line="240" w:lineRule="auto"/>
      </w:pPr>
      <w:r>
        <w:separator/>
      </w:r>
    </w:p>
  </w:endnote>
  <w:endnote w:type="continuationSeparator" w:id="0">
    <w:p w:rsidR="00A46334" w:rsidRDefault="00A46334" w:rsidP="00D1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4" w:rsidRDefault="00A46334" w:rsidP="00D106FB">
      <w:pPr>
        <w:spacing w:after="0" w:line="240" w:lineRule="auto"/>
      </w:pPr>
      <w:r>
        <w:separator/>
      </w:r>
    </w:p>
  </w:footnote>
  <w:footnote w:type="continuationSeparator" w:id="0">
    <w:p w:rsidR="00A46334" w:rsidRDefault="00A46334" w:rsidP="00D1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3013" w:rsidRDefault="004930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F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3013" w:rsidRDefault="00493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13" w:rsidRDefault="00493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0002CA"/>
    <w:rsid w:val="00003558"/>
    <w:rsid w:val="0000410F"/>
    <w:rsid w:val="00012E0E"/>
    <w:rsid w:val="00014168"/>
    <w:rsid w:val="000144E7"/>
    <w:rsid w:val="00015742"/>
    <w:rsid w:val="000161CD"/>
    <w:rsid w:val="00026450"/>
    <w:rsid w:val="00026D9C"/>
    <w:rsid w:val="00030677"/>
    <w:rsid w:val="00036335"/>
    <w:rsid w:val="00041CD6"/>
    <w:rsid w:val="00045D12"/>
    <w:rsid w:val="00046C87"/>
    <w:rsid w:val="00047740"/>
    <w:rsid w:val="00052DCC"/>
    <w:rsid w:val="00061911"/>
    <w:rsid w:val="00067321"/>
    <w:rsid w:val="00070F5E"/>
    <w:rsid w:val="000730AC"/>
    <w:rsid w:val="0007329B"/>
    <w:rsid w:val="000777A7"/>
    <w:rsid w:val="00077BA3"/>
    <w:rsid w:val="0008218D"/>
    <w:rsid w:val="00082B35"/>
    <w:rsid w:val="0008443B"/>
    <w:rsid w:val="00091CAF"/>
    <w:rsid w:val="00093684"/>
    <w:rsid w:val="00097B1E"/>
    <w:rsid w:val="000A17A9"/>
    <w:rsid w:val="000A33D5"/>
    <w:rsid w:val="000A5EF9"/>
    <w:rsid w:val="000B00F8"/>
    <w:rsid w:val="000B6352"/>
    <w:rsid w:val="000C0ACE"/>
    <w:rsid w:val="000C3192"/>
    <w:rsid w:val="000C648D"/>
    <w:rsid w:val="000D0018"/>
    <w:rsid w:val="000D125A"/>
    <w:rsid w:val="000D5447"/>
    <w:rsid w:val="000D6C48"/>
    <w:rsid w:val="000D736B"/>
    <w:rsid w:val="000E4892"/>
    <w:rsid w:val="000E5C7C"/>
    <w:rsid w:val="000F0324"/>
    <w:rsid w:val="000F063B"/>
    <w:rsid w:val="000F5EBB"/>
    <w:rsid w:val="00105AB7"/>
    <w:rsid w:val="00105C3E"/>
    <w:rsid w:val="00107222"/>
    <w:rsid w:val="001120F1"/>
    <w:rsid w:val="00113593"/>
    <w:rsid w:val="001224C4"/>
    <w:rsid w:val="0012460A"/>
    <w:rsid w:val="00130585"/>
    <w:rsid w:val="00132179"/>
    <w:rsid w:val="001429F2"/>
    <w:rsid w:val="00143C4A"/>
    <w:rsid w:val="0015177A"/>
    <w:rsid w:val="00151F18"/>
    <w:rsid w:val="001562FD"/>
    <w:rsid w:val="001616CF"/>
    <w:rsid w:val="001636A2"/>
    <w:rsid w:val="00164B2E"/>
    <w:rsid w:val="00167C96"/>
    <w:rsid w:val="001702F5"/>
    <w:rsid w:val="00172E8A"/>
    <w:rsid w:val="00173DF2"/>
    <w:rsid w:val="00175762"/>
    <w:rsid w:val="0017633B"/>
    <w:rsid w:val="00176CC2"/>
    <w:rsid w:val="0018110C"/>
    <w:rsid w:val="001836EE"/>
    <w:rsid w:val="0018435D"/>
    <w:rsid w:val="001848B5"/>
    <w:rsid w:val="00184941"/>
    <w:rsid w:val="00184C73"/>
    <w:rsid w:val="001914B0"/>
    <w:rsid w:val="00192B2A"/>
    <w:rsid w:val="00192C9B"/>
    <w:rsid w:val="00193926"/>
    <w:rsid w:val="00195AAE"/>
    <w:rsid w:val="001A32B6"/>
    <w:rsid w:val="001A7D15"/>
    <w:rsid w:val="001B358A"/>
    <w:rsid w:val="001B6B4D"/>
    <w:rsid w:val="001B7F2D"/>
    <w:rsid w:val="001C01E3"/>
    <w:rsid w:val="001C4B0A"/>
    <w:rsid w:val="001C626A"/>
    <w:rsid w:val="001D0455"/>
    <w:rsid w:val="001D0466"/>
    <w:rsid w:val="001D27FA"/>
    <w:rsid w:val="001D4138"/>
    <w:rsid w:val="001D53F2"/>
    <w:rsid w:val="001D665E"/>
    <w:rsid w:val="001D6A6A"/>
    <w:rsid w:val="001E4488"/>
    <w:rsid w:val="001E54A3"/>
    <w:rsid w:val="001E7839"/>
    <w:rsid w:val="001F22B5"/>
    <w:rsid w:val="001F3C8F"/>
    <w:rsid w:val="001F6D72"/>
    <w:rsid w:val="001F7F74"/>
    <w:rsid w:val="002014CC"/>
    <w:rsid w:val="00202F91"/>
    <w:rsid w:val="00203C4E"/>
    <w:rsid w:val="0020620F"/>
    <w:rsid w:val="00207132"/>
    <w:rsid w:val="00207245"/>
    <w:rsid w:val="00211D85"/>
    <w:rsid w:val="00225F8B"/>
    <w:rsid w:val="00227A75"/>
    <w:rsid w:val="002312F1"/>
    <w:rsid w:val="00237431"/>
    <w:rsid w:val="002406FE"/>
    <w:rsid w:val="00241A7E"/>
    <w:rsid w:val="00246224"/>
    <w:rsid w:val="00247B3E"/>
    <w:rsid w:val="00247D0F"/>
    <w:rsid w:val="0025150F"/>
    <w:rsid w:val="002515C5"/>
    <w:rsid w:val="00253580"/>
    <w:rsid w:val="00254ED4"/>
    <w:rsid w:val="0026249E"/>
    <w:rsid w:val="002674C5"/>
    <w:rsid w:val="0027032F"/>
    <w:rsid w:val="002707B2"/>
    <w:rsid w:val="002756FC"/>
    <w:rsid w:val="00276240"/>
    <w:rsid w:val="00280390"/>
    <w:rsid w:val="00282732"/>
    <w:rsid w:val="00285C70"/>
    <w:rsid w:val="00285DBE"/>
    <w:rsid w:val="002879A4"/>
    <w:rsid w:val="00287B3B"/>
    <w:rsid w:val="0029250A"/>
    <w:rsid w:val="00294223"/>
    <w:rsid w:val="002955AE"/>
    <w:rsid w:val="002971D0"/>
    <w:rsid w:val="002A0D21"/>
    <w:rsid w:val="002A3482"/>
    <w:rsid w:val="002B71AF"/>
    <w:rsid w:val="002C4A69"/>
    <w:rsid w:val="002C4C08"/>
    <w:rsid w:val="002D3CDB"/>
    <w:rsid w:val="002D6D25"/>
    <w:rsid w:val="002E0FEA"/>
    <w:rsid w:val="002E2339"/>
    <w:rsid w:val="002E6E44"/>
    <w:rsid w:val="002F0F11"/>
    <w:rsid w:val="002F55A8"/>
    <w:rsid w:val="002F6A68"/>
    <w:rsid w:val="002F74A0"/>
    <w:rsid w:val="002F79CF"/>
    <w:rsid w:val="003013BD"/>
    <w:rsid w:val="00303767"/>
    <w:rsid w:val="00305577"/>
    <w:rsid w:val="0030600B"/>
    <w:rsid w:val="003105C2"/>
    <w:rsid w:val="003119F9"/>
    <w:rsid w:val="003134B5"/>
    <w:rsid w:val="003136FA"/>
    <w:rsid w:val="00317152"/>
    <w:rsid w:val="003174D2"/>
    <w:rsid w:val="0032290D"/>
    <w:rsid w:val="00326364"/>
    <w:rsid w:val="00326611"/>
    <w:rsid w:val="003310A8"/>
    <w:rsid w:val="003328B5"/>
    <w:rsid w:val="003339DF"/>
    <w:rsid w:val="00341B46"/>
    <w:rsid w:val="00342437"/>
    <w:rsid w:val="00344814"/>
    <w:rsid w:val="00352728"/>
    <w:rsid w:val="00354B7B"/>
    <w:rsid w:val="00355A69"/>
    <w:rsid w:val="00355D70"/>
    <w:rsid w:val="00362731"/>
    <w:rsid w:val="00364E63"/>
    <w:rsid w:val="00365A80"/>
    <w:rsid w:val="003708F3"/>
    <w:rsid w:val="00372F02"/>
    <w:rsid w:val="00380590"/>
    <w:rsid w:val="0038335C"/>
    <w:rsid w:val="0039453C"/>
    <w:rsid w:val="003954BB"/>
    <w:rsid w:val="003A115C"/>
    <w:rsid w:val="003A4688"/>
    <w:rsid w:val="003B0C33"/>
    <w:rsid w:val="003B120C"/>
    <w:rsid w:val="003B45E2"/>
    <w:rsid w:val="003D1BFD"/>
    <w:rsid w:val="003D42BD"/>
    <w:rsid w:val="003D53AF"/>
    <w:rsid w:val="003D542E"/>
    <w:rsid w:val="003F5388"/>
    <w:rsid w:val="00401B98"/>
    <w:rsid w:val="00401FD6"/>
    <w:rsid w:val="0040301B"/>
    <w:rsid w:val="004057EA"/>
    <w:rsid w:val="004219EC"/>
    <w:rsid w:val="00421D2C"/>
    <w:rsid w:val="00423F1C"/>
    <w:rsid w:val="00424850"/>
    <w:rsid w:val="0042543B"/>
    <w:rsid w:val="00430928"/>
    <w:rsid w:val="004355A0"/>
    <w:rsid w:val="004440BD"/>
    <w:rsid w:val="0044475F"/>
    <w:rsid w:val="00451723"/>
    <w:rsid w:val="004525D3"/>
    <w:rsid w:val="00452BE1"/>
    <w:rsid w:val="00454219"/>
    <w:rsid w:val="00454412"/>
    <w:rsid w:val="004567D0"/>
    <w:rsid w:val="00460272"/>
    <w:rsid w:val="00460A1F"/>
    <w:rsid w:val="0046105E"/>
    <w:rsid w:val="00463B74"/>
    <w:rsid w:val="00463F90"/>
    <w:rsid w:val="004673F2"/>
    <w:rsid w:val="004677DC"/>
    <w:rsid w:val="00467A51"/>
    <w:rsid w:val="004766C8"/>
    <w:rsid w:val="00480DE7"/>
    <w:rsid w:val="004867F4"/>
    <w:rsid w:val="00493013"/>
    <w:rsid w:val="00493EBB"/>
    <w:rsid w:val="0049421E"/>
    <w:rsid w:val="00496748"/>
    <w:rsid w:val="004A0EBA"/>
    <w:rsid w:val="004A1A6F"/>
    <w:rsid w:val="004A61DF"/>
    <w:rsid w:val="004A61EA"/>
    <w:rsid w:val="004A65A6"/>
    <w:rsid w:val="004C09AF"/>
    <w:rsid w:val="004C27F5"/>
    <w:rsid w:val="004C528F"/>
    <w:rsid w:val="004C76B0"/>
    <w:rsid w:val="004D02AD"/>
    <w:rsid w:val="004D39F1"/>
    <w:rsid w:val="004D3E15"/>
    <w:rsid w:val="004D7A6C"/>
    <w:rsid w:val="004E083C"/>
    <w:rsid w:val="004E0E23"/>
    <w:rsid w:val="004F24F2"/>
    <w:rsid w:val="004F46CE"/>
    <w:rsid w:val="004F5257"/>
    <w:rsid w:val="004F57AB"/>
    <w:rsid w:val="004F7946"/>
    <w:rsid w:val="00502BB9"/>
    <w:rsid w:val="005060C9"/>
    <w:rsid w:val="005070C9"/>
    <w:rsid w:val="00507C9B"/>
    <w:rsid w:val="00512FFD"/>
    <w:rsid w:val="0051409D"/>
    <w:rsid w:val="00514FF5"/>
    <w:rsid w:val="00527B35"/>
    <w:rsid w:val="00527C79"/>
    <w:rsid w:val="00543D42"/>
    <w:rsid w:val="00544687"/>
    <w:rsid w:val="005563A1"/>
    <w:rsid w:val="005612BD"/>
    <w:rsid w:val="005636F5"/>
    <w:rsid w:val="00563943"/>
    <w:rsid w:val="00563F12"/>
    <w:rsid w:val="00563F89"/>
    <w:rsid w:val="005648E8"/>
    <w:rsid w:val="00566948"/>
    <w:rsid w:val="00566F6D"/>
    <w:rsid w:val="0056772D"/>
    <w:rsid w:val="00567EF8"/>
    <w:rsid w:val="005757C1"/>
    <w:rsid w:val="00575BB6"/>
    <w:rsid w:val="00577F05"/>
    <w:rsid w:val="00584A28"/>
    <w:rsid w:val="00584DE7"/>
    <w:rsid w:val="00591E75"/>
    <w:rsid w:val="005930D5"/>
    <w:rsid w:val="00595DD0"/>
    <w:rsid w:val="005A6775"/>
    <w:rsid w:val="005A732E"/>
    <w:rsid w:val="005B078B"/>
    <w:rsid w:val="005C7948"/>
    <w:rsid w:val="005D5FD9"/>
    <w:rsid w:val="005E4A9B"/>
    <w:rsid w:val="005E5BA1"/>
    <w:rsid w:val="005E67F0"/>
    <w:rsid w:val="005F2323"/>
    <w:rsid w:val="005F3A98"/>
    <w:rsid w:val="005F506F"/>
    <w:rsid w:val="00604645"/>
    <w:rsid w:val="00606E0E"/>
    <w:rsid w:val="00610C9A"/>
    <w:rsid w:val="0062217C"/>
    <w:rsid w:val="00625E64"/>
    <w:rsid w:val="00630261"/>
    <w:rsid w:val="00630FEA"/>
    <w:rsid w:val="0064273B"/>
    <w:rsid w:val="00644B72"/>
    <w:rsid w:val="006455D8"/>
    <w:rsid w:val="006531EB"/>
    <w:rsid w:val="00656462"/>
    <w:rsid w:val="006617DA"/>
    <w:rsid w:val="0066203D"/>
    <w:rsid w:val="00663A65"/>
    <w:rsid w:val="006656B2"/>
    <w:rsid w:val="00666C3E"/>
    <w:rsid w:val="00667111"/>
    <w:rsid w:val="0066793D"/>
    <w:rsid w:val="00667F17"/>
    <w:rsid w:val="00671C2B"/>
    <w:rsid w:val="0067260C"/>
    <w:rsid w:val="00674290"/>
    <w:rsid w:val="00675D54"/>
    <w:rsid w:val="00677FE2"/>
    <w:rsid w:val="00682563"/>
    <w:rsid w:val="00683B2D"/>
    <w:rsid w:val="00691E49"/>
    <w:rsid w:val="00692E21"/>
    <w:rsid w:val="006945C4"/>
    <w:rsid w:val="00697D9D"/>
    <w:rsid w:val="006A319A"/>
    <w:rsid w:val="006A3F3F"/>
    <w:rsid w:val="006B2B51"/>
    <w:rsid w:val="006B4A78"/>
    <w:rsid w:val="006B590F"/>
    <w:rsid w:val="006C011E"/>
    <w:rsid w:val="006C1B9D"/>
    <w:rsid w:val="006D2E9D"/>
    <w:rsid w:val="006D3C33"/>
    <w:rsid w:val="006E77E0"/>
    <w:rsid w:val="006F0DC1"/>
    <w:rsid w:val="006F0E06"/>
    <w:rsid w:val="006F1275"/>
    <w:rsid w:val="006F3A7D"/>
    <w:rsid w:val="006F4E78"/>
    <w:rsid w:val="006F7932"/>
    <w:rsid w:val="0070038A"/>
    <w:rsid w:val="007032B7"/>
    <w:rsid w:val="00704901"/>
    <w:rsid w:val="007123D8"/>
    <w:rsid w:val="00712590"/>
    <w:rsid w:val="007157A8"/>
    <w:rsid w:val="00716138"/>
    <w:rsid w:val="00716737"/>
    <w:rsid w:val="00716C7E"/>
    <w:rsid w:val="00717331"/>
    <w:rsid w:val="007175E8"/>
    <w:rsid w:val="00717EB3"/>
    <w:rsid w:val="0072163F"/>
    <w:rsid w:val="007238B3"/>
    <w:rsid w:val="00727AA3"/>
    <w:rsid w:val="007316A3"/>
    <w:rsid w:val="00731EAA"/>
    <w:rsid w:val="00736A63"/>
    <w:rsid w:val="00743A27"/>
    <w:rsid w:val="0074453A"/>
    <w:rsid w:val="0075103B"/>
    <w:rsid w:val="00754A8E"/>
    <w:rsid w:val="00755334"/>
    <w:rsid w:val="00760222"/>
    <w:rsid w:val="00764AA8"/>
    <w:rsid w:val="00770120"/>
    <w:rsid w:val="007708D7"/>
    <w:rsid w:val="00770A1C"/>
    <w:rsid w:val="0077216F"/>
    <w:rsid w:val="007748A9"/>
    <w:rsid w:val="00774C40"/>
    <w:rsid w:val="00775C72"/>
    <w:rsid w:val="00775DD9"/>
    <w:rsid w:val="00790937"/>
    <w:rsid w:val="00793343"/>
    <w:rsid w:val="00794553"/>
    <w:rsid w:val="0079495B"/>
    <w:rsid w:val="00795E87"/>
    <w:rsid w:val="00796394"/>
    <w:rsid w:val="007A566A"/>
    <w:rsid w:val="007A6B3A"/>
    <w:rsid w:val="007B0AA5"/>
    <w:rsid w:val="007B1CEA"/>
    <w:rsid w:val="007B1F31"/>
    <w:rsid w:val="007B275E"/>
    <w:rsid w:val="007B3F22"/>
    <w:rsid w:val="007C3813"/>
    <w:rsid w:val="007D2773"/>
    <w:rsid w:val="007D3CED"/>
    <w:rsid w:val="007E2628"/>
    <w:rsid w:val="007E28E5"/>
    <w:rsid w:val="007E64B5"/>
    <w:rsid w:val="007E7A56"/>
    <w:rsid w:val="007F2488"/>
    <w:rsid w:val="007F2CAB"/>
    <w:rsid w:val="007F3BDD"/>
    <w:rsid w:val="007F3F5B"/>
    <w:rsid w:val="007F46B4"/>
    <w:rsid w:val="00800528"/>
    <w:rsid w:val="00800C12"/>
    <w:rsid w:val="0080216A"/>
    <w:rsid w:val="008056B7"/>
    <w:rsid w:val="008128E9"/>
    <w:rsid w:val="008140FD"/>
    <w:rsid w:val="0081511C"/>
    <w:rsid w:val="00815B3D"/>
    <w:rsid w:val="00816306"/>
    <w:rsid w:val="00824F5A"/>
    <w:rsid w:val="0082637C"/>
    <w:rsid w:val="008312F1"/>
    <w:rsid w:val="00833630"/>
    <w:rsid w:val="0084402D"/>
    <w:rsid w:val="008476C9"/>
    <w:rsid w:val="00856F48"/>
    <w:rsid w:val="00857980"/>
    <w:rsid w:val="00857B9D"/>
    <w:rsid w:val="00861CF9"/>
    <w:rsid w:val="00862245"/>
    <w:rsid w:val="008661BD"/>
    <w:rsid w:val="00871923"/>
    <w:rsid w:val="00871EBA"/>
    <w:rsid w:val="0087711C"/>
    <w:rsid w:val="00886173"/>
    <w:rsid w:val="00890B45"/>
    <w:rsid w:val="00890DEC"/>
    <w:rsid w:val="00892D5F"/>
    <w:rsid w:val="008933FF"/>
    <w:rsid w:val="00895AF1"/>
    <w:rsid w:val="008A097D"/>
    <w:rsid w:val="008A159E"/>
    <w:rsid w:val="008C023C"/>
    <w:rsid w:val="008C25E3"/>
    <w:rsid w:val="008C707B"/>
    <w:rsid w:val="008C78A0"/>
    <w:rsid w:val="008C7DF1"/>
    <w:rsid w:val="008D0BC5"/>
    <w:rsid w:val="008D50A2"/>
    <w:rsid w:val="008D7875"/>
    <w:rsid w:val="008E1DE4"/>
    <w:rsid w:val="008E7693"/>
    <w:rsid w:val="008F0124"/>
    <w:rsid w:val="008F225C"/>
    <w:rsid w:val="008F37D8"/>
    <w:rsid w:val="009169CD"/>
    <w:rsid w:val="00917A4A"/>
    <w:rsid w:val="00923A90"/>
    <w:rsid w:val="00923E60"/>
    <w:rsid w:val="0092692A"/>
    <w:rsid w:val="00932B6F"/>
    <w:rsid w:val="00933782"/>
    <w:rsid w:val="009422DE"/>
    <w:rsid w:val="009447A5"/>
    <w:rsid w:val="0094647D"/>
    <w:rsid w:val="00952EDD"/>
    <w:rsid w:val="00954F97"/>
    <w:rsid w:val="00955CAB"/>
    <w:rsid w:val="00955E58"/>
    <w:rsid w:val="00956C45"/>
    <w:rsid w:val="00960696"/>
    <w:rsid w:val="00961BBD"/>
    <w:rsid w:val="00972B72"/>
    <w:rsid w:val="009736D6"/>
    <w:rsid w:val="00977980"/>
    <w:rsid w:val="00980255"/>
    <w:rsid w:val="00980FD7"/>
    <w:rsid w:val="00983157"/>
    <w:rsid w:val="00983DFF"/>
    <w:rsid w:val="00985017"/>
    <w:rsid w:val="00987B5B"/>
    <w:rsid w:val="00994381"/>
    <w:rsid w:val="00995631"/>
    <w:rsid w:val="009A2184"/>
    <w:rsid w:val="009A412E"/>
    <w:rsid w:val="009A5A95"/>
    <w:rsid w:val="009A6682"/>
    <w:rsid w:val="009B122F"/>
    <w:rsid w:val="009B1C1A"/>
    <w:rsid w:val="009B669F"/>
    <w:rsid w:val="009C1457"/>
    <w:rsid w:val="009C4B15"/>
    <w:rsid w:val="009D00E9"/>
    <w:rsid w:val="009D39A4"/>
    <w:rsid w:val="009D49FA"/>
    <w:rsid w:val="009D4C63"/>
    <w:rsid w:val="009D513C"/>
    <w:rsid w:val="009D6AAA"/>
    <w:rsid w:val="009D7595"/>
    <w:rsid w:val="009E1431"/>
    <w:rsid w:val="009E3CD1"/>
    <w:rsid w:val="009E7FBE"/>
    <w:rsid w:val="009F7275"/>
    <w:rsid w:val="00A04B73"/>
    <w:rsid w:val="00A04D14"/>
    <w:rsid w:val="00A0555F"/>
    <w:rsid w:val="00A055BD"/>
    <w:rsid w:val="00A10D62"/>
    <w:rsid w:val="00A17424"/>
    <w:rsid w:val="00A17BAB"/>
    <w:rsid w:val="00A22DDD"/>
    <w:rsid w:val="00A2511C"/>
    <w:rsid w:val="00A33698"/>
    <w:rsid w:val="00A372FF"/>
    <w:rsid w:val="00A46334"/>
    <w:rsid w:val="00A46B73"/>
    <w:rsid w:val="00A475F2"/>
    <w:rsid w:val="00A47A23"/>
    <w:rsid w:val="00A50B36"/>
    <w:rsid w:val="00A53E26"/>
    <w:rsid w:val="00A552FF"/>
    <w:rsid w:val="00A57F13"/>
    <w:rsid w:val="00A61B55"/>
    <w:rsid w:val="00A6397D"/>
    <w:rsid w:val="00A72F7C"/>
    <w:rsid w:val="00A735AF"/>
    <w:rsid w:val="00A75654"/>
    <w:rsid w:val="00A82871"/>
    <w:rsid w:val="00A86624"/>
    <w:rsid w:val="00A90061"/>
    <w:rsid w:val="00AA1889"/>
    <w:rsid w:val="00AA29CC"/>
    <w:rsid w:val="00AA7761"/>
    <w:rsid w:val="00AA779F"/>
    <w:rsid w:val="00AC0DF8"/>
    <w:rsid w:val="00AC17C6"/>
    <w:rsid w:val="00AC60BA"/>
    <w:rsid w:val="00AD06DC"/>
    <w:rsid w:val="00AE3080"/>
    <w:rsid w:val="00AE34BF"/>
    <w:rsid w:val="00AE4ADA"/>
    <w:rsid w:val="00AE4B47"/>
    <w:rsid w:val="00AE7697"/>
    <w:rsid w:val="00AF31EB"/>
    <w:rsid w:val="00AF5D0E"/>
    <w:rsid w:val="00B001F9"/>
    <w:rsid w:val="00B00364"/>
    <w:rsid w:val="00B03729"/>
    <w:rsid w:val="00B05FC1"/>
    <w:rsid w:val="00B078DA"/>
    <w:rsid w:val="00B1348D"/>
    <w:rsid w:val="00B20141"/>
    <w:rsid w:val="00B36123"/>
    <w:rsid w:val="00B4081B"/>
    <w:rsid w:val="00B40AF4"/>
    <w:rsid w:val="00B41132"/>
    <w:rsid w:val="00B41924"/>
    <w:rsid w:val="00B45003"/>
    <w:rsid w:val="00B45878"/>
    <w:rsid w:val="00B47A6A"/>
    <w:rsid w:val="00B52BDD"/>
    <w:rsid w:val="00B54A2B"/>
    <w:rsid w:val="00B57286"/>
    <w:rsid w:val="00B6481A"/>
    <w:rsid w:val="00B70455"/>
    <w:rsid w:val="00B70830"/>
    <w:rsid w:val="00B74A05"/>
    <w:rsid w:val="00B779CC"/>
    <w:rsid w:val="00B846AB"/>
    <w:rsid w:val="00BA6F80"/>
    <w:rsid w:val="00BA7E51"/>
    <w:rsid w:val="00BB1905"/>
    <w:rsid w:val="00BB318A"/>
    <w:rsid w:val="00BD7C43"/>
    <w:rsid w:val="00BE6E38"/>
    <w:rsid w:val="00BF0232"/>
    <w:rsid w:val="00BF0758"/>
    <w:rsid w:val="00BF0AC6"/>
    <w:rsid w:val="00BF0ECE"/>
    <w:rsid w:val="00BF137E"/>
    <w:rsid w:val="00BF3AB1"/>
    <w:rsid w:val="00BF7642"/>
    <w:rsid w:val="00BF7DB4"/>
    <w:rsid w:val="00BF7E4A"/>
    <w:rsid w:val="00C00509"/>
    <w:rsid w:val="00C02E29"/>
    <w:rsid w:val="00C03FD3"/>
    <w:rsid w:val="00C05F30"/>
    <w:rsid w:val="00C07137"/>
    <w:rsid w:val="00C07157"/>
    <w:rsid w:val="00C07472"/>
    <w:rsid w:val="00C12C2F"/>
    <w:rsid w:val="00C1340E"/>
    <w:rsid w:val="00C166B8"/>
    <w:rsid w:val="00C31F3D"/>
    <w:rsid w:val="00C3271E"/>
    <w:rsid w:val="00C3306A"/>
    <w:rsid w:val="00C374C2"/>
    <w:rsid w:val="00C408FE"/>
    <w:rsid w:val="00C41724"/>
    <w:rsid w:val="00C41E16"/>
    <w:rsid w:val="00C5039A"/>
    <w:rsid w:val="00C6079C"/>
    <w:rsid w:val="00C66D85"/>
    <w:rsid w:val="00C7111C"/>
    <w:rsid w:val="00C71882"/>
    <w:rsid w:val="00C72DF6"/>
    <w:rsid w:val="00C76830"/>
    <w:rsid w:val="00C85554"/>
    <w:rsid w:val="00C90B04"/>
    <w:rsid w:val="00C928C9"/>
    <w:rsid w:val="00C944C1"/>
    <w:rsid w:val="00C95F46"/>
    <w:rsid w:val="00CA07B7"/>
    <w:rsid w:val="00CA1E4F"/>
    <w:rsid w:val="00CA226E"/>
    <w:rsid w:val="00CA237F"/>
    <w:rsid w:val="00CA2410"/>
    <w:rsid w:val="00CA32FF"/>
    <w:rsid w:val="00CA395E"/>
    <w:rsid w:val="00CA6128"/>
    <w:rsid w:val="00CB0A0B"/>
    <w:rsid w:val="00CB0D4C"/>
    <w:rsid w:val="00CC2C7A"/>
    <w:rsid w:val="00CC3526"/>
    <w:rsid w:val="00CC43AE"/>
    <w:rsid w:val="00CE1637"/>
    <w:rsid w:val="00CE207B"/>
    <w:rsid w:val="00CE2FB9"/>
    <w:rsid w:val="00CF0811"/>
    <w:rsid w:val="00CF7684"/>
    <w:rsid w:val="00D0059D"/>
    <w:rsid w:val="00D00AB8"/>
    <w:rsid w:val="00D03E49"/>
    <w:rsid w:val="00D04B3B"/>
    <w:rsid w:val="00D04F61"/>
    <w:rsid w:val="00D106FB"/>
    <w:rsid w:val="00D214AE"/>
    <w:rsid w:val="00D234E0"/>
    <w:rsid w:val="00D23B8D"/>
    <w:rsid w:val="00D33ABA"/>
    <w:rsid w:val="00D36DB5"/>
    <w:rsid w:val="00D4161C"/>
    <w:rsid w:val="00D42AFD"/>
    <w:rsid w:val="00D43D9C"/>
    <w:rsid w:val="00D461C2"/>
    <w:rsid w:val="00D55C59"/>
    <w:rsid w:val="00D56251"/>
    <w:rsid w:val="00D70A37"/>
    <w:rsid w:val="00D70C74"/>
    <w:rsid w:val="00D7435F"/>
    <w:rsid w:val="00D8298C"/>
    <w:rsid w:val="00D9164D"/>
    <w:rsid w:val="00D963BE"/>
    <w:rsid w:val="00DA3211"/>
    <w:rsid w:val="00DA575F"/>
    <w:rsid w:val="00DB4A4C"/>
    <w:rsid w:val="00DC0713"/>
    <w:rsid w:val="00DC3BA7"/>
    <w:rsid w:val="00DC6683"/>
    <w:rsid w:val="00DC7DB7"/>
    <w:rsid w:val="00DD2DA5"/>
    <w:rsid w:val="00DE29C9"/>
    <w:rsid w:val="00DF17FF"/>
    <w:rsid w:val="00DF60D5"/>
    <w:rsid w:val="00E0601E"/>
    <w:rsid w:val="00E1127D"/>
    <w:rsid w:val="00E13EAF"/>
    <w:rsid w:val="00E253A7"/>
    <w:rsid w:val="00E27141"/>
    <w:rsid w:val="00E42605"/>
    <w:rsid w:val="00E43804"/>
    <w:rsid w:val="00E44633"/>
    <w:rsid w:val="00E459E5"/>
    <w:rsid w:val="00E525B4"/>
    <w:rsid w:val="00E52907"/>
    <w:rsid w:val="00E617A4"/>
    <w:rsid w:val="00E66926"/>
    <w:rsid w:val="00E71A45"/>
    <w:rsid w:val="00E85DA8"/>
    <w:rsid w:val="00E90E1D"/>
    <w:rsid w:val="00E91E91"/>
    <w:rsid w:val="00E95536"/>
    <w:rsid w:val="00EA3C2B"/>
    <w:rsid w:val="00EA64DD"/>
    <w:rsid w:val="00EA7E64"/>
    <w:rsid w:val="00EB3D74"/>
    <w:rsid w:val="00EC0374"/>
    <w:rsid w:val="00EC1E02"/>
    <w:rsid w:val="00ED03C8"/>
    <w:rsid w:val="00ED3BC7"/>
    <w:rsid w:val="00ED49AA"/>
    <w:rsid w:val="00EE57F0"/>
    <w:rsid w:val="00EE6DA6"/>
    <w:rsid w:val="00EE74FC"/>
    <w:rsid w:val="00EF0F21"/>
    <w:rsid w:val="00EF3CFD"/>
    <w:rsid w:val="00F01F6B"/>
    <w:rsid w:val="00F02033"/>
    <w:rsid w:val="00F04192"/>
    <w:rsid w:val="00F044A1"/>
    <w:rsid w:val="00F11109"/>
    <w:rsid w:val="00F12C06"/>
    <w:rsid w:val="00F131B6"/>
    <w:rsid w:val="00F14FA2"/>
    <w:rsid w:val="00F15812"/>
    <w:rsid w:val="00F31A32"/>
    <w:rsid w:val="00F33033"/>
    <w:rsid w:val="00F42878"/>
    <w:rsid w:val="00F46623"/>
    <w:rsid w:val="00F46AA1"/>
    <w:rsid w:val="00F5210D"/>
    <w:rsid w:val="00F56AED"/>
    <w:rsid w:val="00F603BF"/>
    <w:rsid w:val="00F63741"/>
    <w:rsid w:val="00F64BA6"/>
    <w:rsid w:val="00F65595"/>
    <w:rsid w:val="00F67AE5"/>
    <w:rsid w:val="00F75A98"/>
    <w:rsid w:val="00F76DF9"/>
    <w:rsid w:val="00F83671"/>
    <w:rsid w:val="00F9025F"/>
    <w:rsid w:val="00F9047F"/>
    <w:rsid w:val="00F90E1E"/>
    <w:rsid w:val="00FA262D"/>
    <w:rsid w:val="00FA2741"/>
    <w:rsid w:val="00FA4C52"/>
    <w:rsid w:val="00FB47D1"/>
    <w:rsid w:val="00FB5D09"/>
    <w:rsid w:val="00FB6769"/>
    <w:rsid w:val="00FB7B90"/>
    <w:rsid w:val="00FC2F97"/>
    <w:rsid w:val="00FC30D3"/>
    <w:rsid w:val="00FC397A"/>
    <w:rsid w:val="00FC6007"/>
    <w:rsid w:val="00FC6A17"/>
    <w:rsid w:val="00FD04BF"/>
    <w:rsid w:val="00FD079F"/>
    <w:rsid w:val="00FD6C56"/>
    <w:rsid w:val="00FE0BA5"/>
    <w:rsid w:val="00FE28FE"/>
    <w:rsid w:val="00FE55F3"/>
    <w:rsid w:val="00FF21B1"/>
    <w:rsid w:val="00FF2954"/>
    <w:rsid w:val="00FF4739"/>
    <w:rsid w:val="00FF54D0"/>
    <w:rsid w:val="00FF5648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3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9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F6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C72DF6"/>
  </w:style>
  <w:style w:type="paragraph" w:styleId="Header">
    <w:name w:val="header"/>
    <w:basedOn w:val="Normal"/>
    <w:link w:val="Head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F6"/>
  </w:style>
  <w:style w:type="paragraph" w:styleId="Footer">
    <w:name w:val="footer"/>
    <w:basedOn w:val="Normal"/>
    <w:link w:val="Foot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F6"/>
  </w:style>
  <w:style w:type="character" w:styleId="Emphasis">
    <w:name w:val="Emphasis"/>
    <w:basedOn w:val="DefaultParagraphFont"/>
    <w:uiPriority w:val="20"/>
    <w:qFormat/>
    <w:rsid w:val="00C72DF6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F0419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rs1">
    <w:name w:val="trs1"/>
    <w:basedOn w:val="DefaultParagraphFont"/>
    <w:rsid w:val="00507C9B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3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9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F6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C72DF6"/>
  </w:style>
  <w:style w:type="paragraph" w:styleId="Header">
    <w:name w:val="header"/>
    <w:basedOn w:val="Normal"/>
    <w:link w:val="Head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F6"/>
  </w:style>
  <w:style w:type="paragraph" w:styleId="Footer">
    <w:name w:val="footer"/>
    <w:basedOn w:val="Normal"/>
    <w:link w:val="FooterChar"/>
    <w:uiPriority w:val="99"/>
    <w:unhideWhenUsed/>
    <w:rsid w:val="00C7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F6"/>
  </w:style>
  <w:style w:type="character" w:styleId="Emphasis">
    <w:name w:val="Emphasis"/>
    <w:basedOn w:val="DefaultParagraphFont"/>
    <w:uiPriority w:val="20"/>
    <w:qFormat/>
    <w:rsid w:val="00C72DF6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F0419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rs1">
    <w:name w:val="trs1"/>
    <w:basedOn w:val="DefaultParagraphFont"/>
    <w:rsid w:val="00507C9B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9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2871</cp:revision>
  <cp:lastPrinted>2017-06-21T13:26:00Z</cp:lastPrinted>
  <dcterms:created xsi:type="dcterms:W3CDTF">2017-05-18T09:53:00Z</dcterms:created>
  <dcterms:modified xsi:type="dcterms:W3CDTF">2017-09-13T07:06:00Z</dcterms:modified>
</cp:coreProperties>
</file>